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PRESENTACIÓN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Cordial saludo, somos Maria Fernanda Pardo López y Yajaira Camila Cabrera Ramos, estudiantes de Ingeniería Industrial, actualmente nos encontramos realizando el proyecto de grado titulado: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Diseño de la estructura y procedimientos administrativos de la Escuela de Diseño Industrial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un proyecto que va orientado al mejoramiento de la gestión administrativa de la EDI. Para el desarrollo de este proyecto se realiza una Observación Directa que tiene como objetivo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documentar las dinámicas administrativas y flujos de trabajo actuales, identificar oportunidades y fortalezas de la Estructura Administrativa y los Procedimientos Administrativos.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Criterios de Evaluación: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Experiencia de los cargos en el Área de trabajo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Perfil acorde al área en que se desempeñan los cargos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Flujo de solicitudes y/o requerimientos del Área por parte de los usuarios.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Metodología para de gestión de solicitudes, requerimientos por parte de los usuarios para el área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Demanda de trámites o solicitudes en el área (Es decir a cuántos estudiantes o docentes se les da respuesta de estas solicitudes o trámites)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Como se prioriza las solicitudes o requerimientos en Área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Para talleres y sala de cómputo (Manejo de inventarios)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Documentos de Apoyo que tienen para la gestión de los procedimientos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Procesos de tipo académico, de gestión administrativa, investigación o extensión considera que son difíciles de gestionar y deben ser mejorados por área (oportunidades de mejora)</w:t>
      </w:r>
    </w:p>
    <w:p w:rsidR="00000000" w:rsidDel="00000000" w:rsidP="00000000" w:rsidRDefault="00000000" w:rsidRPr="00000000" w14:paraId="0000000F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25"/>
        <w:gridCol w:w="2190"/>
        <w:gridCol w:w="2325"/>
        <w:gridCol w:w="2100"/>
        <w:tblGridChange w:id="0">
          <w:tblGrid>
            <w:gridCol w:w="2325"/>
            <w:gridCol w:w="2190"/>
            <w:gridCol w:w="2325"/>
            <w:gridCol w:w="210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ÁREA DE TRABAJO: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ACADÉMICO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ADMINISTRATIVA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Director de Escuela, Coordinador Académico, Secretaría de la Escuela, Profesional II (Calidad Académica) y Profesional II (Proyectos de Extensión)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FORTALEZAS</w:t>
            </w:r>
          </w:p>
        </w:tc>
        <w:tc>
          <w:tcPr/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DEBILIDADES</w:t>
            </w:r>
          </w:p>
        </w:tc>
        <w:tc>
          <w:tcPr/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OPORTUNIDADES</w:t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AMENAZAS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Alto nivel de experiencia laboral.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Comunicación fluida entre los miembros del equipo.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Liderazgo en el equipo de trabajo y alto nivel de compromiso del área y hacia los compromisos adquiridos con los usuarios.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Equipo con claridad del propósito de la EDI y responsabilidades asignadas en cada cargo.</w:t>
            </w:r>
          </w:p>
        </w:tc>
        <w:tc>
          <w:tcPr/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Carecen de documentación de apoyo como manuales de funciones específicos para cada cargo, guías, instructivos.</w:t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flujo de solicitudes, trámites y proyectos semestrales es variable en el semestre.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Los cargos disponibles para el área varían cada semestre, depende de los recursos disponibles y proyectos de financiación interna, también varía según el nombramiento del Director de Escuela </w:t>
            </w:r>
          </w:p>
        </w:tc>
        <w:tc>
          <w:tcPr/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Diseñar los documentos de apoyo (manuales de funciones y procedimientos específicos para los cargos de la EDI) que permitan una instrucción adecuada para el cargo, identificando las actividades, responsabilidades y procesos paso a paso.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Actualizar y diseñar la estructura administrativa conforme a las necesidades de la EDI</w:t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Incertidumbre en la disponibilidad de cargos en este caso Profesionales II, para la ejecución de las actividades y proyectos requeridos a lo largo del semestre, ya que, al inicio de cada semestre, varían según los recursos para la contratación y nombramiento de Director de escuela. </w:t>
            </w:r>
          </w:p>
        </w:tc>
      </w:tr>
    </w:tbl>
    <w:p w:rsidR="00000000" w:rsidDel="00000000" w:rsidP="00000000" w:rsidRDefault="00000000" w:rsidRPr="00000000" w14:paraId="00000031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35"/>
        <w:gridCol w:w="2280"/>
        <w:gridCol w:w="2325"/>
        <w:gridCol w:w="2100"/>
        <w:tblGridChange w:id="0">
          <w:tblGrid>
            <w:gridCol w:w="2235"/>
            <w:gridCol w:w="2280"/>
            <w:gridCol w:w="2325"/>
            <w:gridCol w:w="210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ÁREA DE TRABAJO: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LABORATORIOS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Técnico de soporte Académico 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FORTALEZAS</w:t>
            </w:r>
          </w:p>
        </w:tc>
        <w:tc>
          <w:tcPr/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DEBILIDADES</w:t>
            </w:r>
          </w:p>
        </w:tc>
        <w:tc>
          <w:tcPr/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OPORTUNIDADES</w:t>
            </w:r>
          </w:p>
        </w:tc>
        <w:tc>
          <w:tcPr/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AMENAZAS</w:t>
            </w:r>
          </w:p>
        </w:tc>
      </w:tr>
      <w:tr>
        <w:trPr>
          <w:cantSplit w:val="0"/>
          <w:trHeight w:val="1178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Alto nivel de experiencia laboral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Da prioridad a procedimientos de buenas prácticas en los laboratorios garantizando la seguridad de los estudiantes.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Recurso desde vicerrectoría para la compra de EPPS (mono gafas, tapa oídos, guantes), para mitigar incidentes </w:t>
            </w:r>
          </w:p>
        </w:tc>
        <w:tc>
          <w:tcPr/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 existe un formato de uso de las instalaciones para los estudiantes.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 se tiene una sistematización para el inventario de las instalaciones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Escasez de protocolos claros al momento de hacer uso de las instalaciones. 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 existe un auxiliar de tiempo completo que brinde apoyo en actividades administrativas.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Los laboratorios más críticos (Maderas y Metales) al momento de ser utilizados no tienen una persona adicional responsable de la seguridad de los estudiantes como el docente a cargo de la materia.  </w:t>
            </w:r>
          </w:p>
        </w:tc>
        <w:tc>
          <w:tcPr/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Diseño de un formato para la solicitud del uso de las instalaciones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Diseño de un sistema para el manejo de inventario. 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Diseño de un manual de funciones para este cargo. 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Diseño de manual de procedimientos específicos para el área.</w:t>
            </w:r>
          </w:p>
        </w:tc>
        <w:tc>
          <w:tcPr/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 se tiene un control del uso de las instalaciones.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Riesgo en la seguridad de los estudiantes en los laboratorios críticos (Maderas y Metales) debido a que no tienen un docente a cargo cuando hacen uso de este.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Solo es una persona para la atención de 5 talleres.</w:t>
            </w:r>
          </w:p>
        </w:tc>
      </w:tr>
    </w:tbl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9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55"/>
        <w:gridCol w:w="2715"/>
        <w:gridCol w:w="2520"/>
        <w:gridCol w:w="1650"/>
        <w:tblGridChange w:id="0">
          <w:tblGrid>
            <w:gridCol w:w="2055"/>
            <w:gridCol w:w="2715"/>
            <w:gridCol w:w="2520"/>
            <w:gridCol w:w="165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ÁREA DE TRABAJO: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SALA DE COMPUTO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CARGO: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Técnico de soporte Académico 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FORTALEZAS</w:t>
            </w:r>
          </w:p>
        </w:tc>
        <w:tc>
          <w:tcPr/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DEBILIDADES</w:t>
            </w:r>
          </w:p>
        </w:tc>
        <w:tc>
          <w:tcPr/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OPORTUNIDADES</w:t>
            </w:r>
          </w:p>
        </w:tc>
        <w:tc>
          <w:tcPr/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AMENAZAS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Tienen un formato para la solicitud de uso de las instalaciones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cargo no tiene un manual de funciones específico.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 requiere del cargo anterior para poder realizar el proceso de inducción. </w:t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 tiene un manual de funciones para este cargo.</w:t>
            </w:r>
          </w:p>
        </w:tc>
        <w:tc>
          <w:tcPr/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Creación de una estrategia para realizar adecuadamente el proceso de inducción cuando una persona nueva ingrese al cargo. 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Diseño de un manual de funciones para dicho cargo. </w:t>
            </w:r>
          </w:p>
        </w:tc>
        <w:tc>
          <w:tcPr/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50"/>
        <w:gridCol w:w="2850"/>
        <w:gridCol w:w="2505"/>
        <w:gridCol w:w="1725"/>
        <w:tblGridChange w:id="0">
          <w:tblGrid>
            <w:gridCol w:w="1950"/>
            <w:gridCol w:w="2850"/>
            <w:gridCol w:w="2505"/>
            <w:gridCol w:w="172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ÁREA DE TRABAJO: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POSGRADOS 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CARGOS: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Coordinador de Posgrados, Profesional II (Apoyo de posgrados y KIMERA)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FORTALEZAS</w:t>
            </w:r>
          </w:p>
        </w:tc>
        <w:tc>
          <w:tcPr/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DEBILIDADES</w:t>
            </w:r>
          </w:p>
        </w:tc>
        <w:tc>
          <w:tcPr/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OPORTUNIDADES</w:t>
            </w:r>
          </w:p>
        </w:tc>
        <w:tc>
          <w:tcPr/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AMENAZAS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ind w:right="-102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Alto nivel de experiencia laboral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ind w:right="-102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ind w:right="-102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 seguimiento académico a los estudiantes de posgrados es constante, dado que son solo 15.</w:t>
            </w:r>
          </w:p>
        </w:tc>
        <w:tc>
          <w:tcPr/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 existe claridad en procesos administrativos y académicos. 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Académicos: procedimiento de créditos condonables 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 el procedimiento de revisión de procesos de investigación (abarca créditos condonables vs financiación externa)</w:t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Administrativo: </w:t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 existe una afinidad entre los calendarios académicos de la oficina principal de posgrados de la UIS con la de la EDI.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 se tiene una hoja de ruta de trabajo de investigación.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 existe manual de funciones específico para el cargo de profesional 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Diseño de un manual de funciones para los cargos.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Estandarización de los procesos que se ejecutan en esta área. 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Establecer calendario como ruta para la matrícula y los procesos de admisión a los programas de posgrado</w:t>
            </w:r>
          </w:p>
        </w:tc>
        <w:tc>
          <w:tcPr/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Reprocesos en el desarrollo de actividades académicas y administrativas</w:t>
            </w:r>
          </w:p>
        </w:tc>
      </w:tr>
    </w:tbl>
    <w:p w:rsidR="00000000" w:rsidDel="00000000" w:rsidP="00000000" w:rsidRDefault="00000000" w:rsidRPr="00000000" w14:paraId="0000009A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tabs>
        <w:tab w:val="center" w:leader="none" w:pos="4419"/>
        <w:tab w:val="right" w:leader="none" w:pos="8838"/>
      </w:tabs>
      <w:spacing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widowControl w:val="0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5"/>
      <w:tblpPr w:leftFromText="180" w:rightFromText="180" w:topFromText="180" w:bottomFromText="180" w:vertAnchor="text" w:horzAnchor="text" w:tblpX="-870" w:tblpY="0"/>
      <w:tblW w:w="10773.0" w:type="dxa"/>
      <w:jc w:val="left"/>
      <w:tblBorders>
        <w:top w:color="9cc3e5" w:space="0" w:sz="4" w:val="single"/>
        <w:left w:color="9cc3e5" w:space="0" w:sz="4" w:val="single"/>
        <w:bottom w:color="9cc3e5" w:space="0" w:sz="4" w:val="single"/>
        <w:right w:color="9cc3e5" w:space="0" w:sz="4" w:val="single"/>
        <w:insideH w:color="9cc3e5" w:space="0" w:sz="4" w:val="single"/>
        <w:insideV w:color="9cc3e5" w:space="0" w:sz="4" w:val="single"/>
      </w:tblBorders>
      <w:tblLayout w:type="fixed"/>
      <w:tblLook w:val="0600"/>
    </w:tblPr>
    <w:tblGrid>
      <w:gridCol w:w="2314"/>
      <w:gridCol w:w="3356"/>
      <w:gridCol w:w="3238"/>
      <w:gridCol w:w="1865"/>
      <w:tblGridChange w:id="0">
        <w:tblGrid>
          <w:gridCol w:w="2314"/>
          <w:gridCol w:w="3356"/>
          <w:gridCol w:w="3238"/>
          <w:gridCol w:w="1865"/>
        </w:tblGrid>
      </w:tblGridChange>
    </w:tblGrid>
    <w:tr>
      <w:trPr>
        <w:cantSplit w:val="0"/>
        <w:trHeight w:val="267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9D">
          <w:pPr>
            <w:rPr>
              <w:rFonts w:ascii="Times New Roman" w:cs="Times New Roman" w:eastAsia="Times New Roman" w:hAnsi="Times New Roman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</w:rPr>
            <w:drawing>
              <wp:inline distB="0" distT="0" distL="0" distR="0">
                <wp:extent cx="1352550" cy="666750"/>
                <wp:effectExtent b="0" l="0" r="0" t="0"/>
                <wp:docPr descr="Texto, Aplicación&#10;&#10;Descripción generada automáticamente" id="3" name="image2.png"/>
                <a:graphic>
                  <a:graphicData uri="http://schemas.openxmlformats.org/drawingml/2006/picture">
                    <pic:pic>
                      <pic:nvPicPr>
                        <pic:cNvPr descr="Texto, Aplicación&#10;&#10;Descripción generada automáticamente"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2550" cy="6667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</w:tcPr>
        <w:p w:rsidR="00000000" w:rsidDel="00000000" w:rsidP="00000000" w:rsidRDefault="00000000" w:rsidRPr="00000000" w14:paraId="0000009E">
          <w:pPr>
            <w:jc w:val="center"/>
            <w:rPr>
              <w:rFonts w:ascii="Times New Roman" w:cs="Times New Roman" w:eastAsia="Times New Roman" w:hAnsi="Times New Roman"/>
              <w:b w:val="1"/>
              <w:color w:val="000000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color w:val="000000"/>
              <w:rtl w:val="0"/>
            </w:rPr>
            <w:t xml:space="preserve">FORMATO OBSERVACIÓN DIRECTA DINÁMICAS ADMINISTRATIVAS</w:t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A0">
          <w:pPr>
            <w:jc w:val="center"/>
            <w:rPr>
              <w:rFonts w:ascii="Times New Roman" w:cs="Times New Roman" w:eastAsia="Times New Roman" w:hAnsi="Times New Roman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</w:rPr>
            <w:drawing>
              <wp:inline distB="114300" distT="114300" distL="114300" distR="114300">
                <wp:extent cx="809625" cy="809625"/>
                <wp:effectExtent b="0" l="0" r="0" t="0"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96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42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A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A2">
          <w:pPr>
            <w:jc w:val="center"/>
            <w:rPr>
              <w:rFonts w:ascii="Times New Roman" w:cs="Times New Roman" w:eastAsia="Times New Roman" w:hAnsi="Times New Roman"/>
              <w:b w:val="1"/>
              <w:color w:val="000000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color w:val="000000"/>
              <w:rtl w:val="0"/>
            </w:rPr>
            <w:t xml:space="preserve">ESCUELA DE DISEÑO INDUSTRIAL</w:t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A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1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A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1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A6">
          <w:pPr>
            <w:jc w:val="center"/>
            <w:rPr>
              <w:rFonts w:ascii="Times New Roman" w:cs="Times New Roman" w:eastAsia="Times New Roman" w:hAnsi="Times New Roman"/>
              <w:b w:val="1"/>
              <w:color w:val="000000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color w:val="000000"/>
              <w:rtl w:val="0"/>
            </w:rPr>
            <w:t xml:space="preserve">Código: FDI.05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A7">
          <w:pPr>
            <w:jc w:val="center"/>
            <w:rPr>
              <w:rFonts w:ascii="Times New Roman" w:cs="Times New Roman" w:eastAsia="Times New Roman" w:hAnsi="Times New Roman"/>
              <w:color w:val="000000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color w:val="000000"/>
              <w:rtl w:val="0"/>
            </w:rPr>
            <w:t xml:space="preserve">Página</w:t>
          </w:r>
          <w:r w:rsidDel="00000000" w:rsidR="00000000" w:rsidRPr="00000000">
            <w:rPr>
              <w:rFonts w:ascii="Times New Roman" w:cs="Times New Roman" w:eastAsia="Times New Roman" w:hAnsi="Times New Roman"/>
              <w:color w:val="000000"/>
              <w:rtl w:val="0"/>
            </w:rPr>
            <w:t xml:space="preserve">: </w:t>
          </w:r>
          <w:r w:rsidDel="00000000" w:rsidR="00000000" w:rsidRPr="00000000">
            <w:rPr>
              <w:rFonts w:ascii="Times New Roman" w:cs="Times New Roman" w:eastAsia="Times New Roman" w:hAnsi="Times New Roman"/>
              <w:color w:val="000000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Times New Roman" w:cs="Times New Roman" w:eastAsia="Times New Roman" w:hAnsi="Times New Roman"/>
              <w:color w:val="000000"/>
              <w:rtl w:val="0"/>
            </w:rPr>
            <w:t xml:space="preserve"> de 3</w:t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A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A9">
    <w:pPr>
      <w:tabs>
        <w:tab w:val="center" w:leader="none" w:pos="4419"/>
        <w:tab w:val="right" w:leader="none" w:pos="8838"/>
      </w:tabs>
      <w:spacing w:line="24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pPr>
      <w:spacing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pPr>
      <w:spacing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iE1TpNf5+8By5NnzyA9AvbPlZQ==">CgMxLjA4AHIhMWFqNVJjRmtpRnh2VWtqMHFBVk9Za3ZlTDVCQS1rcVhv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2024-12-09T18:45:00Z</dcterms:created>
  <dc:creator>LENOVO</dc:creator>
</cp:coreProperties>
</file>